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C0" w:rsidRPr="00F069E4" w:rsidRDefault="002110C0" w:rsidP="002110C0">
      <w:pPr>
        <w:keepNext/>
        <w:keepLines/>
        <w:tabs>
          <w:tab w:val="left" w:pos="856"/>
        </w:tabs>
        <w:suppressAutoHyphens/>
      </w:pPr>
      <w:bookmarkStart w:id="0" w:name="_GoBack"/>
      <w:bookmarkEnd w:id="0"/>
      <w:r>
        <w:t xml:space="preserve">                                                                                         </w:t>
      </w:r>
      <w:r w:rsidRPr="002110C0">
        <w:rPr>
          <w:color w:val="7F7F7F" w:themeColor="text1" w:themeTint="80"/>
        </w:rPr>
        <w:t>ПРОЕКТ АКТУАЛЬНОЙ РЕДАКЦИИ</w:t>
      </w:r>
    </w:p>
    <w:p w:rsidR="00F924CC" w:rsidRDefault="00F924CC" w:rsidP="00F924CC">
      <w:pPr>
        <w:keepNext/>
        <w:keepLines/>
        <w:suppressAutoHyphens/>
        <w:rPr>
          <w:sz w:val="2"/>
          <w:szCs w:val="2"/>
        </w:rPr>
      </w:pPr>
    </w:p>
    <w:p w:rsidR="00F924CC" w:rsidRDefault="00F924CC" w:rsidP="00F924CC">
      <w:pPr>
        <w:keepNext/>
        <w:keepLines/>
        <w:tabs>
          <w:tab w:val="left" w:pos="7335"/>
        </w:tabs>
        <w:suppressAutoHyphens/>
        <w:jc w:val="center"/>
        <w:rPr>
          <w:b/>
        </w:rPr>
      </w:pPr>
      <w:r>
        <w:rPr>
          <w:noProof/>
          <w:sz w:val="16"/>
          <w:szCs w:val="16"/>
        </w:rPr>
        <w:drawing>
          <wp:inline distT="0" distB="0" distL="0" distR="0" wp14:anchorId="684D4EA6" wp14:editId="78CF2A71">
            <wp:extent cx="504825" cy="6477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Ч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CC" w:rsidRDefault="00F924CC" w:rsidP="00F924CC">
      <w:pPr>
        <w:keepNext/>
        <w:keepLines/>
        <w:tabs>
          <w:tab w:val="right" w:pos="720"/>
        </w:tabs>
        <w:suppressAutoHyphens/>
        <w:jc w:val="center"/>
        <w:rPr>
          <w:b/>
        </w:rPr>
      </w:pPr>
    </w:p>
    <w:p w:rsidR="00F924CC" w:rsidRDefault="00F924CC" w:rsidP="00F924CC">
      <w:pPr>
        <w:keepNext/>
        <w:keepLines/>
        <w:suppressAutoHyphens/>
        <w:jc w:val="center"/>
        <w:rPr>
          <w:b/>
          <w:sz w:val="36"/>
          <w:szCs w:val="36"/>
          <w:lang w:val="x-none"/>
        </w:rPr>
      </w:pPr>
      <w:r>
        <w:rPr>
          <w:b/>
          <w:sz w:val="36"/>
          <w:szCs w:val="36"/>
          <w:lang w:val="x-none"/>
        </w:rPr>
        <w:t>Городской округ</w:t>
      </w:r>
    </w:p>
    <w:p w:rsidR="00F924CC" w:rsidRDefault="00F924CC" w:rsidP="00F924CC">
      <w:pPr>
        <w:keepNext/>
        <w:keepLines/>
        <w:suppressAutoHyphens/>
        <w:jc w:val="center"/>
        <w:rPr>
          <w:b/>
          <w:sz w:val="36"/>
          <w:szCs w:val="36"/>
          <w:lang w:val="x-none"/>
        </w:rPr>
      </w:pPr>
      <w:r>
        <w:rPr>
          <w:b/>
          <w:sz w:val="36"/>
          <w:szCs w:val="36"/>
          <w:lang w:val="x-none"/>
        </w:rPr>
        <w:t>Архангельской области «Котлас»</w:t>
      </w:r>
    </w:p>
    <w:p w:rsidR="00F924CC" w:rsidRDefault="00F924CC" w:rsidP="00F924CC">
      <w:pPr>
        <w:keepNext/>
        <w:keepLines/>
        <w:suppressAutoHyphens/>
        <w:jc w:val="center"/>
        <w:rPr>
          <w:b/>
          <w:sz w:val="36"/>
          <w:szCs w:val="36"/>
          <w:lang w:val="x-none"/>
        </w:rPr>
      </w:pPr>
      <w:r>
        <w:rPr>
          <w:b/>
          <w:sz w:val="36"/>
          <w:szCs w:val="36"/>
          <w:lang w:val="x-none"/>
        </w:rPr>
        <w:t xml:space="preserve">Собрание депутатов городского округа «Котлас» </w:t>
      </w:r>
    </w:p>
    <w:p w:rsidR="00F924CC" w:rsidRDefault="003A5BF5" w:rsidP="00F924CC">
      <w:pPr>
        <w:keepNext/>
        <w:keepLines/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седьмого</w:t>
      </w:r>
      <w:r w:rsidR="00F924CC">
        <w:rPr>
          <w:b/>
          <w:sz w:val="36"/>
          <w:szCs w:val="36"/>
        </w:rPr>
        <w:t xml:space="preserve"> созыва</w:t>
      </w:r>
    </w:p>
    <w:p w:rsidR="00F924CC" w:rsidRDefault="00F924CC" w:rsidP="00F924CC">
      <w:pPr>
        <w:keepNext/>
        <w:keepLines/>
        <w:tabs>
          <w:tab w:val="decimal" w:pos="2408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 сессия</w:t>
      </w:r>
    </w:p>
    <w:p w:rsidR="00F924CC" w:rsidRDefault="00F924CC" w:rsidP="00F924CC">
      <w:pPr>
        <w:keepNext/>
        <w:keepLines/>
        <w:suppressAutoHyphens/>
        <w:jc w:val="center"/>
      </w:pPr>
    </w:p>
    <w:p w:rsidR="00F924CC" w:rsidRDefault="00F924CC" w:rsidP="00F924CC">
      <w:pPr>
        <w:keepNext/>
        <w:keepLines/>
        <w:suppressAutoHyphens/>
        <w:jc w:val="center"/>
      </w:pPr>
    </w:p>
    <w:p w:rsidR="00F924CC" w:rsidRDefault="00F924CC" w:rsidP="00F924CC">
      <w:pPr>
        <w:keepNext/>
        <w:keepLines/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F924CC" w:rsidRDefault="00F924CC" w:rsidP="00F924CC">
      <w:pPr>
        <w:keepNext/>
        <w:keepLines/>
        <w:suppressAutoHyphens/>
        <w:jc w:val="center"/>
      </w:pPr>
      <w:r>
        <w:t xml:space="preserve"> </w:t>
      </w:r>
    </w:p>
    <w:p w:rsidR="00F924CC" w:rsidRDefault="00F924CC" w:rsidP="00F924CC">
      <w:pPr>
        <w:keepNext/>
        <w:keepLines/>
        <w:tabs>
          <w:tab w:val="left" w:pos="851"/>
          <w:tab w:val="left" w:pos="993"/>
        </w:tabs>
        <w:suppressAutoHyphens/>
        <w:jc w:val="center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F924CC" w:rsidTr="00012E90">
        <w:tc>
          <w:tcPr>
            <w:tcW w:w="3095" w:type="dxa"/>
            <w:hideMark/>
          </w:tcPr>
          <w:p w:rsidR="00F924CC" w:rsidRDefault="00F924CC" w:rsidP="00CA122F">
            <w:pPr>
              <w:keepNext/>
              <w:keepLines/>
              <w:tabs>
                <w:tab w:val="left" w:pos="547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от «___» </w:t>
            </w:r>
            <w:r w:rsidR="00F03BEB">
              <w:rPr>
                <w:bCs/>
              </w:rPr>
              <w:t xml:space="preserve"> ________ 2024</w:t>
            </w:r>
            <w:r>
              <w:rPr>
                <w:bCs/>
              </w:rPr>
              <w:t xml:space="preserve"> г.</w:t>
            </w:r>
          </w:p>
        </w:tc>
        <w:tc>
          <w:tcPr>
            <w:tcW w:w="3095" w:type="dxa"/>
            <w:hideMark/>
          </w:tcPr>
          <w:p w:rsidR="00F924CC" w:rsidRDefault="00F924CC" w:rsidP="00012E90">
            <w:pPr>
              <w:keepNext/>
              <w:keepLines/>
              <w:suppressAutoHyphens/>
              <w:jc w:val="center"/>
              <w:rPr>
                <w:bCs/>
              </w:rPr>
            </w:pPr>
            <w:r>
              <w:rPr>
                <w:bCs/>
              </w:rPr>
              <w:t>г. Котлас</w:t>
            </w:r>
          </w:p>
        </w:tc>
        <w:tc>
          <w:tcPr>
            <w:tcW w:w="3096" w:type="dxa"/>
            <w:hideMark/>
          </w:tcPr>
          <w:p w:rsidR="00F924CC" w:rsidRDefault="00F924CC" w:rsidP="00012E90">
            <w:pPr>
              <w:keepNext/>
              <w:keepLines/>
              <w:jc w:val="both"/>
              <w:rPr>
                <w:b/>
                <w:bCs/>
                <w:u w:val="single"/>
              </w:rPr>
            </w:pPr>
            <w:r>
              <w:t xml:space="preserve">                          № </w:t>
            </w:r>
            <w:r w:rsidRPr="002110C0">
              <w:rPr>
                <w:bCs/>
                <w:color w:val="7F7F7F" w:themeColor="text1" w:themeTint="80"/>
              </w:rPr>
              <w:t>ПРОЕКТ</w:t>
            </w:r>
          </w:p>
        </w:tc>
      </w:tr>
    </w:tbl>
    <w:p w:rsidR="00F924CC" w:rsidRDefault="00F924CC" w:rsidP="00F924CC">
      <w:pPr>
        <w:keepNext/>
        <w:keepLines/>
        <w:suppressAutoHyphens/>
        <w:rPr>
          <w:b/>
          <w:bCs/>
        </w:rPr>
      </w:pPr>
    </w:p>
    <w:p w:rsidR="00F924CC" w:rsidRDefault="00F924CC" w:rsidP="00F924CC">
      <w:pPr>
        <w:keepNext/>
        <w:keepLines/>
        <w:suppressAutoHyphens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F924CC" w:rsidTr="00012E90">
        <w:trPr>
          <w:trHeight w:val="421"/>
        </w:trPr>
        <w:tc>
          <w:tcPr>
            <w:tcW w:w="4253" w:type="dxa"/>
            <w:hideMark/>
          </w:tcPr>
          <w:p w:rsidR="00F924CC" w:rsidRDefault="00F924CC" w:rsidP="00EB1637">
            <w:pPr>
              <w:keepNext/>
              <w:keepLines/>
              <w:tabs>
                <w:tab w:val="left" w:pos="856"/>
              </w:tabs>
              <w:suppressAutoHyphens/>
            </w:pPr>
            <w:r w:rsidRPr="00F069E4">
              <w:t>О мерах социальной поддержки в виде медицинского обеспечения для граждан, страдающих онкологическими заболеваниями</w:t>
            </w:r>
          </w:p>
          <w:p w:rsidR="00FD33BA" w:rsidRPr="00F069E4" w:rsidRDefault="00BD3FB2" w:rsidP="00EB1637">
            <w:pPr>
              <w:keepNext/>
              <w:keepLines/>
              <w:tabs>
                <w:tab w:val="left" w:pos="856"/>
              </w:tabs>
              <w:suppressAutoHyphens/>
            </w:pPr>
            <w:r>
              <w:t>(</w:t>
            </w:r>
            <w:r w:rsidRPr="003A5BF5">
              <w:t xml:space="preserve">в ред. от </w:t>
            </w:r>
            <w:r w:rsidR="003A5BF5" w:rsidRPr="003A5BF5">
              <w:t>16.12.2021</w:t>
            </w:r>
            <w:r w:rsidR="00FD33BA" w:rsidRPr="003A5BF5">
              <w:t xml:space="preserve"> №</w:t>
            </w:r>
            <w:r w:rsidR="003A5BF5" w:rsidRPr="003A5BF5">
              <w:t xml:space="preserve"> 200-н</w:t>
            </w:r>
            <w:r w:rsidR="00FD33BA" w:rsidRPr="003A5BF5">
              <w:t>)</w:t>
            </w:r>
          </w:p>
          <w:p w:rsidR="00F924CC" w:rsidRDefault="00F924CC" w:rsidP="00012E90">
            <w:pPr>
              <w:keepNext/>
              <w:keepLines/>
              <w:tabs>
                <w:tab w:val="left" w:pos="856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24CC" w:rsidRDefault="00F924CC" w:rsidP="00012E90">
            <w:pPr>
              <w:keepNext/>
              <w:keepLines/>
              <w:tabs>
                <w:tab w:val="left" w:pos="856"/>
              </w:tabs>
              <w:suppressAutoHyphens/>
              <w:rPr>
                <w:bCs/>
              </w:rPr>
            </w:pPr>
          </w:p>
        </w:tc>
      </w:tr>
    </w:tbl>
    <w:p w:rsidR="00F924CC" w:rsidRDefault="00F924CC" w:rsidP="00891C3A">
      <w:pPr>
        <w:pStyle w:val="2"/>
        <w:keepNext/>
        <w:suppressLineNumbers/>
        <w:suppressAutoHyphens/>
        <w:ind w:firstLine="709"/>
        <w:rPr>
          <w:b/>
          <w:sz w:val="24"/>
        </w:rPr>
      </w:pPr>
      <w:r>
        <w:rPr>
          <w:b/>
          <w:sz w:val="24"/>
        </w:rPr>
        <w:t>Статья 1</w:t>
      </w:r>
    </w:p>
    <w:p w:rsidR="00F924CC" w:rsidRDefault="00F924CC" w:rsidP="00F924CC">
      <w:pPr>
        <w:pStyle w:val="2"/>
        <w:keepNext/>
        <w:suppressLineNumbers/>
        <w:suppressAutoHyphens/>
        <w:ind w:firstLine="907"/>
        <w:rPr>
          <w:sz w:val="24"/>
        </w:rPr>
      </w:pPr>
    </w:p>
    <w:p w:rsidR="00F924CC" w:rsidRDefault="00F924CC" w:rsidP="00DA30DE">
      <w:pPr>
        <w:keepNext/>
        <w:keepLines/>
        <w:tabs>
          <w:tab w:val="left" w:pos="856"/>
        </w:tabs>
        <w:suppressAutoHyphens/>
        <w:ind w:firstLine="709"/>
        <w:jc w:val="both"/>
      </w:pPr>
      <w:r>
        <w:t xml:space="preserve">За счёт средств бюджета </w:t>
      </w:r>
      <w:r w:rsidR="00FF65F9">
        <w:t>городского округа</w:t>
      </w:r>
      <w:r>
        <w:t xml:space="preserve"> «Котлас» предоставляются меры социальной поддержки в виде медицинского обеспечения путём предоставления адресной социальной помощи на опла</w:t>
      </w:r>
      <w:r w:rsidR="000F3CCE">
        <w:t>ту стоимости проезда (</w:t>
      </w:r>
      <w:r w:rsidR="000F3CCE" w:rsidRPr="003A5BF5">
        <w:t xml:space="preserve">не более </w:t>
      </w:r>
      <w:r w:rsidR="00F03BEB">
        <w:t>3 поездок</w:t>
      </w:r>
      <w:r w:rsidRPr="003A5BF5">
        <w:t xml:space="preserve"> в календарный год</w:t>
      </w:r>
      <w:r>
        <w:t xml:space="preserve">) в пределах территории </w:t>
      </w:r>
      <w:r w:rsidR="00F03BEB">
        <w:t>Архангельской области</w:t>
      </w:r>
      <w:r>
        <w:t xml:space="preserve"> к месту </w:t>
      </w:r>
      <w:r w:rsidR="00C4078D">
        <w:t xml:space="preserve">консультации и (или) </w:t>
      </w:r>
      <w:r>
        <w:t>лечения и обратно при наличии направления врачебной комиссии, выданного в порядке, установленном федеральными законами и иными нормативными правовыми актами, если соответствующее лечение не может быть предоставлено по месту</w:t>
      </w:r>
      <w:r w:rsidR="00EB1637">
        <w:t xml:space="preserve"> </w:t>
      </w:r>
      <w:r>
        <w:t xml:space="preserve">проживания, гражданам, страдающим онкологическими заболеваниями, имеющим регистрацию по месту жительства (постоянную прописку) на территории </w:t>
      </w:r>
      <w:r w:rsidR="0045421B">
        <w:t>городского округа</w:t>
      </w:r>
      <w:r>
        <w:t xml:space="preserve"> «Котлас».</w:t>
      </w:r>
      <w:r w:rsidR="00BD3FB2">
        <w:t xml:space="preserve"> (</w:t>
      </w:r>
      <w:r w:rsidR="003A5BF5" w:rsidRPr="003A5BF5">
        <w:t>в ред. от 16.12.2021 № 200-н</w:t>
      </w:r>
      <w:r w:rsidR="00DA30DE">
        <w:t>)</w:t>
      </w:r>
      <w:r w:rsidR="003A5BF5">
        <w:t>.</w:t>
      </w:r>
    </w:p>
    <w:p w:rsidR="00F924CC" w:rsidRDefault="00F924CC" w:rsidP="00DA30DE">
      <w:pPr>
        <w:keepNext/>
        <w:suppressLineNumbers/>
        <w:suppressAutoHyphens/>
        <w:ind w:firstLine="907"/>
        <w:jc w:val="both"/>
        <w:rPr>
          <w:b/>
        </w:rPr>
      </w:pPr>
    </w:p>
    <w:p w:rsidR="00F924CC" w:rsidRDefault="00F924CC" w:rsidP="00891C3A">
      <w:pPr>
        <w:keepNext/>
        <w:suppressLineNumbers/>
        <w:suppressAutoHyphens/>
        <w:ind w:firstLine="709"/>
        <w:rPr>
          <w:b/>
        </w:rPr>
      </w:pPr>
      <w:r>
        <w:rPr>
          <w:b/>
        </w:rPr>
        <w:t>Статья 2</w:t>
      </w:r>
    </w:p>
    <w:p w:rsidR="00F924CC" w:rsidRDefault="00F924CC" w:rsidP="00F924CC">
      <w:pPr>
        <w:pStyle w:val="ConsNormal"/>
        <w:keepNext/>
        <w:suppressLineNumbers/>
        <w:suppressAutoHyphens/>
        <w:ind w:right="0" w:firstLine="907"/>
        <w:jc w:val="both"/>
        <w:rPr>
          <w:b/>
        </w:rPr>
      </w:pPr>
    </w:p>
    <w:p w:rsidR="00F924CC" w:rsidRDefault="00F924CC" w:rsidP="00891C3A">
      <w:pPr>
        <w:pStyle w:val="2"/>
        <w:keepNext/>
        <w:numPr>
          <w:ilvl w:val="0"/>
          <w:numId w:val="1"/>
        </w:numPr>
        <w:tabs>
          <w:tab w:val="num" w:pos="1276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Оплата стоимости проезда, указанного в статье 1 настоящего решения, включает в себя только оплату стоимости проездных документов, за исключением стоимости проезда внутригородским транспортом (автотранспорт, электротранспорт, метро, аэроэкспресс), и в зависимости от вида транспорта не может превышать:</w:t>
      </w:r>
    </w:p>
    <w:p w:rsidR="00F924CC" w:rsidRDefault="00F924CC" w:rsidP="00891C3A">
      <w:pPr>
        <w:pStyle w:val="2"/>
        <w:keepNext/>
        <w:numPr>
          <w:ilvl w:val="0"/>
          <w:numId w:val="2"/>
        </w:numPr>
        <w:tabs>
          <w:tab w:val="clear" w:pos="1080"/>
          <w:tab w:val="num" w:pos="1276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автомобильным транспортом (за исключением такси) – наименьшей стоимости проезда кратчайшим путем;</w:t>
      </w:r>
    </w:p>
    <w:p w:rsidR="00F924CC" w:rsidRDefault="00F924CC" w:rsidP="00730424">
      <w:pPr>
        <w:pStyle w:val="2"/>
        <w:keepNext/>
        <w:numPr>
          <w:ilvl w:val="0"/>
          <w:numId w:val="2"/>
        </w:numPr>
        <w:tabs>
          <w:tab w:val="clear" w:pos="1080"/>
          <w:tab w:val="num" w:pos="1276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железнодорожным транспортом – стоимости проезда в плацкартном вагоне.</w:t>
      </w:r>
    </w:p>
    <w:p w:rsidR="00F924CC" w:rsidRDefault="00F924CC" w:rsidP="00730424">
      <w:pPr>
        <w:keepNext/>
        <w:keepLines/>
        <w:tabs>
          <w:tab w:val="left" w:pos="856"/>
        </w:tabs>
        <w:suppressAutoHyphens/>
        <w:jc w:val="both"/>
      </w:pPr>
      <w:r>
        <w:t>В случае неспособности лиц, указанных в статье 1 настоящего решения, самостоятельно осуществить поездку, оплате подлежит проезд одного сопровождающего их лица в пределах, установленных частью 1 настоящей статьи.</w:t>
      </w:r>
    </w:p>
    <w:p w:rsidR="00891C3A" w:rsidRDefault="00891C3A" w:rsidP="00891C3A">
      <w:pPr>
        <w:pStyle w:val="a3"/>
        <w:ind w:left="0" w:firstLine="709"/>
        <w:rPr>
          <w:b/>
        </w:rPr>
      </w:pPr>
    </w:p>
    <w:p w:rsidR="00F924CC" w:rsidRPr="00F924CC" w:rsidRDefault="00F924CC" w:rsidP="00891C3A">
      <w:pPr>
        <w:pStyle w:val="a3"/>
        <w:ind w:left="0" w:firstLine="709"/>
        <w:rPr>
          <w:b/>
        </w:rPr>
      </w:pPr>
      <w:r w:rsidRPr="00F924CC">
        <w:rPr>
          <w:b/>
        </w:rPr>
        <w:lastRenderedPageBreak/>
        <w:t>Статья 3</w:t>
      </w:r>
    </w:p>
    <w:p w:rsidR="00F924CC" w:rsidRDefault="00F924CC" w:rsidP="00EB1637">
      <w:pPr>
        <w:pStyle w:val="2"/>
        <w:keepNext/>
        <w:suppressLineNumbers/>
        <w:suppressAutoHyphens/>
        <w:rPr>
          <w:sz w:val="24"/>
        </w:rPr>
      </w:pPr>
    </w:p>
    <w:p w:rsidR="00F924CC" w:rsidRDefault="00F924CC" w:rsidP="000F3CCE">
      <w:pPr>
        <w:keepNext/>
        <w:keepLines/>
        <w:tabs>
          <w:tab w:val="left" w:pos="856"/>
        </w:tabs>
        <w:suppressAutoHyphens/>
        <w:ind w:firstLine="709"/>
        <w:jc w:val="both"/>
      </w:pPr>
      <w:r>
        <w:t xml:space="preserve">Оплата проезда, предусмотренного настоящим решением, осуществляется в виде компенсации расходов в порядке, установленном администрацией </w:t>
      </w:r>
      <w:r w:rsidR="007024E0">
        <w:t>городского округа</w:t>
      </w:r>
      <w:r>
        <w:t xml:space="preserve"> «Котлас».</w:t>
      </w:r>
      <w:r w:rsidR="00BD3FB2">
        <w:t xml:space="preserve"> </w:t>
      </w:r>
      <w:r w:rsidR="003A5BF5">
        <w:t>(</w:t>
      </w:r>
      <w:r w:rsidR="003A5BF5" w:rsidRPr="003A5BF5">
        <w:t>в ред. от 16.12.2021 № 200-н</w:t>
      </w:r>
      <w:r w:rsidR="003A5BF5">
        <w:t>).</w:t>
      </w:r>
    </w:p>
    <w:p w:rsidR="00F924CC" w:rsidRDefault="00F924CC" w:rsidP="00EB1637">
      <w:pPr>
        <w:pStyle w:val="2"/>
        <w:keepNext/>
        <w:suppressLineNumbers/>
        <w:suppressAutoHyphens/>
        <w:rPr>
          <w:sz w:val="24"/>
          <w:szCs w:val="24"/>
        </w:rPr>
      </w:pPr>
    </w:p>
    <w:p w:rsidR="00F924CC" w:rsidRDefault="00F924CC" w:rsidP="00891C3A">
      <w:pPr>
        <w:pStyle w:val="ConsNormal"/>
        <w:keepNext/>
        <w:suppressLineNumbers/>
        <w:suppressAutoHyphens/>
        <w:ind w:right="0" w:firstLine="709"/>
        <w:jc w:val="both"/>
        <w:rPr>
          <w:b/>
        </w:rPr>
      </w:pPr>
      <w:r>
        <w:rPr>
          <w:b/>
        </w:rPr>
        <w:t>Статья 4</w:t>
      </w:r>
    </w:p>
    <w:p w:rsidR="00F924CC" w:rsidRDefault="00F924CC" w:rsidP="00EB1637">
      <w:pPr>
        <w:pStyle w:val="ConsNormal"/>
        <w:keepNext/>
        <w:suppressLineNumbers/>
        <w:suppressAutoHyphens/>
        <w:ind w:right="0" w:firstLine="0"/>
        <w:jc w:val="both"/>
        <w:rPr>
          <w:b/>
        </w:rPr>
      </w:pPr>
    </w:p>
    <w:p w:rsidR="00F924CC" w:rsidRDefault="00F924CC" w:rsidP="000F3CCE">
      <w:pPr>
        <w:keepNext/>
        <w:keepLines/>
        <w:tabs>
          <w:tab w:val="left" w:pos="856"/>
        </w:tabs>
        <w:suppressAutoHyphens/>
        <w:ind w:firstLine="709"/>
        <w:jc w:val="both"/>
      </w:pPr>
      <w:r>
        <w:t>Финансовое обеспечение расходов, связанных с предоставлением мер социальной поддержки, осуществляется в пределах бюджетных ассигнован</w:t>
      </w:r>
      <w:r w:rsidR="008442C2">
        <w:t>ий, предусмотренных в бюджете городского округа</w:t>
      </w:r>
      <w:r>
        <w:t xml:space="preserve"> «Котлас» на данные цели, в порядке, утверждённом адми</w:t>
      </w:r>
      <w:r w:rsidR="008442C2">
        <w:t>нистрацией городского округа</w:t>
      </w:r>
      <w:r>
        <w:t xml:space="preserve"> «Котлас».</w:t>
      </w:r>
      <w:r w:rsidR="00BD3FB2">
        <w:t xml:space="preserve"> (</w:t>
      </w:r>
      <w:r w:rsidR="003A5BF5" w:rsidRPr="003A5BF5">
        <w:t>в ред. от 16.12.2021 № 200-н</w:t>
      </w:r>
      <w:r w:rsidR="003A5BF5">
        <w:t>).</w:t>
      </w:r>
    </w:p>
    <w:p w:rsidR="00F924CC" w:rsidRDefault="00F924CC" w:rsidP="00EB1637">
      <w:pPr>
        <w:pStyle w:val="ConsNormal"/>
        <w:keepNext/>
        <w:suppressLineNumbers/>
        <w:suppressAutoHyphens/>
        <w:ind w:right="0" w:firstLine="0"/>
        <w:jc w:val="both"/>
      </w:pPr>
    </w:p>
    <w:p w:rsidR="00F924CC" w:rsidRDefault="00F924CC" w:rsidP="00891C3A">
      <w:pPr>
        <w:pStyle w:val="ConsNormal"/>
        <w:keepNext/>
        <w:suppressLineNumbers/>
        <w:suppressAutoHyphens/>
        <w:ind w:right="0" w:firstLine="709"/>
        <w:jc w:val="both"/>
        <w:rPr>
          <w:b/>
        </w:rPr>
      </w:pPr>
      <w:r>
        <w:rPr>
          <w:b/>
        </w:rPr>
        <w:t>Статья 5</w:t>
      </w:r>
    </w:p>
    <w:p w:rsidR="00F924CC" w:rsidRPr="002400AB" w:rsidRDefault="00F924CC" w:rsidP="00EB1637">
      <w:pPr>
        <w:pStyle w:val="ConsNormal"/>
        <w:keepNext/>
        <w:suppressLineNumbers/>
        <w:suppressAutoHyphens/>
        <w:ind w:right="0" w:firstLine="0"/>
        <w:jc w:val="both"/>
        <w:rPr>
          <w:b/>
          <w:color w:val="FF0000"/>
        </w:rPr>
      </w:pPr>
    </w:p>
    <w:p w:rsidR="00F924CC" w:rsidRPr="006F5D86" w:rsidRDefault="00F03BEB" w:rsidP="00891C3A">
      <w:pPr>
        <w:pStyle w:val="2"/>
        <w:keepNext/>
        <w:suppressLineNumbers/>
        <w:suppressAutoHyphens/>
        <w:ind w:firstLine="709"/>
        <w:rPr>
          <w:sz w:val="24"/>
        </w:rPr>
      </w:pPr>
      <w:r w:rsidRPr="00F03BEB">
        <w:rPr>
          <w:sz w:val="24"/>
        </w:rPr>
        <w:t xml:space="preserve">Настоящее решение вступает в силу со дня официального опубликования в периодическом печатном издании – газете «Новый Котлас» и подлежит размещению на официальном сайте администрации городского округа Архангельской области «Котлас» в информационно-телекоммуникационной сети «Интернет».  </w:t>
      </w:r>
    </w:p>
    <w:p w:rsidR="00F924CC" w:rsidRDefault="00F924CC" w:rsidP="00EB1637">
      <w:pPr>
        <w:pStyle w:val="2"/>
        <w:keepNext/>
        <w:suppressLineNumbers/>
        <w:suppressAutoHyphens/>
        <w:rPr>
          <w:sz w:val="24"/>
          <w:szCs w:val="24"/>
        </w:rPr>
      </w:pPr>
    </w:p>
    <w:p w:rsidR="00F924CC" w:rsidRDefault="00F924CC" w:rsidP="00EB1637">
      <w:pPr>
        <w:pStyle w:val="2"/>
        <w:keepNext/>
        <w:suppressLineNumbers/>
        <w:suppressAutoHyphens/>
        <w:ind w:left="1815"/>
        <w:rPr>
          <w:sz w:val="24"/>
          <w:szCs w:val="24"/>
        </w:rPr>
      </w:pPr>
    </w:p>
    <w:p w:rsidR="00F03BEB" w:rsidRDefault="00F03BEB" w:rsidP="00EB1637">
      <w:pPr>
        <w:pStyle w:val="2"/>
        <w:keepNext/>
        <w:suppressLineNumbers/>
        <w:suppressAutoHyphens/>
        <w:ind w:left="1815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524"/>
        <w:gridCol w:w="4627"/>
      </w:tblGrid>
      <w:tr w:rsidR="00F924CC" w:rsidTr="00F924CC">
        <w:trPr>
          <w:cantSplit/>
        </w:trPr>
        <w:tc>
          <w:tcPr>
            <w:tcW w:w="4135" w:type="dxa"/>
            <w:hideMark/>
          </w:tcPr>
          <w:p w:rsidR="00F924CC" w:rsidRDefault="00F924CC">
            <w:pPr>
              <w:pStyle w:val="2"/>
              <w:keepNext/>
              <w:suppressLineNumbers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</w:t>
            </w:r>
          </w:p>
          <w:p w:rsidR="00F924CC" w:rsidRDefault="00E17784">
            <w:pPr>
              <w:pStyle w:val="2"/>
              <w:keepNext/>
              <w:suppressLineNumbers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ГО</w:t>
            </w:r>
            <w:r w:rsidR="00F924CC">
              <w:rPr>
                <w:sz w:val="24"/>
                <w:szCs w:val="24"/>
              </w:rPr>
              <w:t xml:space="preserve"> «Котлас»</w:t>
            </w:r>
          </w:p>
        </w:tc>
        <w:tc>
          <w:tcPr>
            <w:tcW w:w="524" w:type="dxa"/>
          </w:tcPr>
          <w:p w:rsidR="00F924CC" w:rsidRDefault="00F924CC">
            <w:pPr>
              <w:pStyle w:val="2"/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F924CC" w:rsidRDefault="00F924CC">
            <w:pPr>
              <w:pStyle w:val="2"/>
              <w:keepNext/>
              <w:suppressLineNumbers/>
              <w:suppressAutoHyphens/>
              <w:jc w:val="right"/>
              <w:rPr>
                <w:sz w:val="24"/>
                <w:szCs w:val="24"/>
              </w:rPr>
            </w:pPr>
          </w:p>
          <w:p w:rsidR="00F924CC" w:rsidRDefault="00730424">
            <w:pPr>
              <w:pStyle w:val="2"/>
              <w:keepNext/>
              <w:suppressLineNumbers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Мелентьев</w:t>
            </w:r>
          </w:p>
        </w:tc>
      </w:tr>
    </w:tbl>
    <w:p w:rsidR="00F924CC" w:rsidRPr="00F924CC" w:rsidRDefault="00F924CC" w:rsidP="00F924CC">
      <w:pPr>
        <w:keepNext/>
        <w:suppressLineNumbers/>
        <w:suppressAutoHyphens/>
        <w:rPr>
          <w:sz w:val="20"/>
          <w:szCs w:val="20"/>
        </w:rPr>
      </w:pPr>
    </w:p>
    <w:p w:rsidR="00F924CC" w:rsidRPr="00F924CC" w:rsidRDefault="00F924CC" w:rsidP="00F924CC">
      <w:pPr>
        <w:keepNext/>
        <w:suppressLineNumbers/>
        <w:tabs>
          <w:tab w:val="left" w:pos="1080"/>
        </w:tabs>
        <w:suppressAutoHyphens/>
        <w:ind w:left="720"/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2376"/>
        <w:gridCol w:w="3123"/>
      </w:tblGrid>
      <w:tr w:rsidR="00D74716" w:rsidRPr="006D615C" w:rsidTr="00E40E9E">
        <w:tc>
          <w:tcPr>
            <w:tcW w:w="3936" w:type="dxa"/>
          </w:tcPr>
          <w:p w:rsidR="0057257C" w:rsidRDefault="00C47E0B" w:rsidP="0057257C">
            <w:r>
              <w:t>Глава</w:t>
            </w:r>
            <w:r w:rsidR="0057257C">
              <w:t xml:space="preserve"> городского </w:t>
            </w:r>
          </w:p>
          <w:p w:rsidR="00D74716" w:rsidRPr="006D615C" w:rsidRDefault="0057257C" w:rsidP="0057257C">
            <w:r>
              <w:t>округа «Котлас»</w:t>
            </w:r>
            <w:r w:rsidR="00D74716" w:rsidRPr="006D615C">
              <w:tab/>
            </w:r>
            <w:r>
              <w:t xml:space="preserve">                              </w:t>
            </w:r>
          </w:p>
        </w:tc>
        <w:tc>
          <w:tcPr>
            <w:tcW w:w="2444" w:type="dxa"/>
          </w:tcPr>
          <w:p w:rsidR="00D74716" w:rsidRPr="006D615C" w:rsidRDefault="00D74716" w:rsidP="00E40E9E"/>
        </w:tc>
        <w:tc>
          <w:tcPr>
            <w:tcW w:w="3190" w:type="dxa"/>
          </w:tcPr>
          <w:p w:rsidR="00D74716" w:rsidRPr="006D615C" w:rsidRDefault="00D74716" w:rsidP="00E40E9E">
            <w:pPr>
              <w:jc w:val="right"/>
            </w:pPr>
          </w:p>
          <w:p w:rsidR="00D74716" w:rsidRPr="006D615C" w:rsidRDefault="0057257C" w:rsidP="0057257C">
            <w:pPr>
              <w:jc w:val="center"/>
            </w:pPr>
            <w:r>
              <w:t xml:space="preserve">                 </w:t>
            </w:r>
            <w:r w:rsidR="00730424">
              <w:t xml:space="preserve">      Д.Д. </w:t>
            </w:r>
            <w:proofErr w:type="spellStart"/>
            <w:r w:rsidR="00730424">
              <w:t>Шевела</w:t>
            </w:r>
            <w:proofErr w:type="spellEnd"/>
          </w:p>
          <w:p w:rsidR="00D74716" w:rsidRPr="006D615C" w:rsidRDefault="00D74716" w:rsidP="00E40E9E"/>
        </w:tc>
      </w:tr>
    </w:tbl>
    <w:p w:rsidR="003F19C7" w:rsidRDefault="003F19C7" w:rsidP="00F924CC"/>
    <w:sectPr w:rsidR="003F19C7" w:rsidSect="002110C0">
      <w:headerReference w:type="default" r:id="rId8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E2" w:rsidRDefault="00852DE2" w:rsidP="00D1683F">
      <w:r>
        <w:separator/>
      </w:r>
    </w:p>
  </w:endnote>
  <w:endnote w:type="continuationSeparator" w:id="0">
    <w:p w:rsidR="00852DE2" w:rsidRDefault="00852DE2" w:rsidP="00D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E2" w:rsidRDefault="00852DE2" w:rsidP="00D1683F">
      <w:r>
        <w:separator/>
      </w:r>
    </w:p>
  </w:footnote>
  <w:footnote w:type="continuationSeparator" w:id="0">
    <w:p w:rsidR="00852DE2" w:rsidRDefault="00852DE2" w:rsidP="00D1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3F" w:rsidRPr="00FD33BA" w:rsidRDefault="00D1683F">
    <w:pPr>
      <w:pStyle w:val="a4"/>
      <w:rPr>
        <w:color w:val="595959" w:themeColor="text1" w:themeTint="A6"/>
      </w:rPr>
    </w:pPr>
    <w:r w:rsidRPr="00FD33BA">
      <w:rPr>
        <w:color w:val="595959" w:themeColor="text1" w:themeTint="A6"/>
      </w:rPr>
      <w:t xml:space="preserve">                                                                                        </w:t>
    </w:r>
    <w:r w:rsidR="008D0686">
      <w:rPr>
        <w:color w:val="595959" w:themeColor="text1" w:themeTint="A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371"/>
    <w:multiLevelType w:val="hybridMultilevel"/>
    <w:tmpl w:val="6D58543A"/>
    <w:lvl w:ilvl="0" w:tplc="D97C106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F16771"/>
    <w:multiLevelType w:val="hybridMultilevel"/>
    <w:tmpl w:val="8D5C70AC"/>
    <w:lvl w:ilvl="0" w:tplc="8FA2D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79"/>
    <w:rsid w:val="00022A26"/>
    <w:rsid w:val="000F3CCE"/>
    <w:rsid w:val="002110C0"/>
    <w:rsid w:val="002400AB"/>
    <w:rsid w:val="00281B3C"/>
    <w:rsid w:val="003A5BF5"/>
    <w:rsid w:val="003F19C7"/>
    <w:rsid w:val="0045421B"/>
    <w:rsid w:val="0057257C"/>
    <w:rsid w:val="005A179A"/>
    <w:rsid w:val="005B113B"/>
    <w:rsid w:val="005E2474"/>
    <w:rsid w:val="0064464D"/>
    <w:rsid w:val="006A2719"/>
    <w:rsid w:val="006E5E3A"/>
    <w:rsid w:val="006F5D86"/>
    <w:rsid w:val="007024E0"/>
    <w:rsid w:val="00730424"/>
    <w:rsid w:val="00755552"/>
    <w:rsid w:val="008442C2"/>
    <w:rsid w:val="00852DE2"/>
    <w:rsid w:val="00891C3A"/>
    <w:rsid w:val="008D0686"/>
    <w:rsid w:val="009B0679"/>
    <w:rsid w:val="00AC74F9"/>
    <w:rsid w:val="00AC7CA7"/>
    <w:rsid w:val="00BB1545"/>
    <w:rsid w:val="00BD3FB2"/>
    <w:rsid w:val="00C1482F"/>
    <w:rsid w:val="00C33FB8"/>
    <w:rsid w:val="00C4078D"/>
    <w:rsid w:val="00C47E0B"/>
    <w:rsid w:val="00CA122F"/>
    <w:rsid w:val="00CD3699"/>
    <w:rsid w:val="00CF6FCE"/>
    <w:rsid w:val="00D1683F"/>
    <w:rsid w:val="00D74716"/>
    <w:rsid w:val="00DA30DE"/>
    <w:rsid w:val="00DD16D2"/>
    <w:rsid w:val="00E17784"/>
    <w:rsid w:val="00E34960"/>
    <w:rsid w:val="00EB1637"/>
    <w:rsid w:val="00F00868"/>
    <w:rsid w:val="00F03BEB"/>
    <w:rsid w:val="00F924CC"/>
    <w:rsid w:val="00FD33BA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3199C-36FD-4268-B4F0-46014C4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24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24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4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10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0C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D747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Кривошапкина</dc:creator>
  <cp:keywords/>
  <dc:description/>
  <cp:lastModifiedBy>User</cp:lastModifiedBy>
  <cp:revision>2</cp:revision>
  <cp:lastPrinted>2023-11-30T11:06:00Z</cp:lastPrinted>
  <dcterms:created xsi:type="dcterms:W3CDTF">2024-04-03T12:54:00Z</dcterms:created>
  <dcterms:modified xsi:type="dcterms:W3CDTF">2024-04-03T12:54:00Z</dcterms:modified>
</cp:coreProperties>
</file>